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3369"/>
        <w:gridCol w:w="5919"/>
      </w:tblGrid>
      <w:tr>
        <w:tblPrEx>
          <w:tblCellMar>
            <w:top w:w="0" w:type="dxa"/>
            <w:left w:w="108" w:type="dxa"/>
            <w:bottom w:w="0" w:type="dxa"/>
            <w:right w:w="108" w:type="dxa"/>
          </w:tblCellMar>
        </w:tblPrEx>
        <w:trPr>
          <w:trHeight w:val="850" w:hRule="atLeast"/>
        </w:trPr>
        <w:tc>
          <w:tcPr>
            <w:tcW w:w="3369" w:type="dxa"/>
            <w:shd w:val="clear" w:color="auto" w:fill="auto"/>
          </w:tcPr>
          <w:p>
            <w:pPr>
              <w:spacing w:after="0" w:line="240" w:lineRule="auto"/>
              <w:jc w:val="center"/>
              <w:rPr>
                <w:rFonts w:eastAsia="Times New Roman"/>
                <w:b/>
                <w:bCs/>
                <w:sz w:val="26"/>
                <w:szCs w:val="26"/>
                <w:highlight w:val="white"/>
              </w:rPr>
            </w:pPr>
            <w:bookmarkStart w:id="0" w:name="_GoBack"/>
            <w:bookmarkEnd w:id="0"/>
            <w:r>
              <w:rPr>
                <w:rFonts w:eastAsia="Times New Roman"/>
                <w:szCs w:val="28"/>
                <w:highlight w:val="white"/>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398780</wp:posOffset>
                      </wp:positionV>
                      <wp:extent cx="523875" cy="0"/>
                      <wp:effectExtent l="0" t="0" r="9525" b="1905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4pt;margin-top:31.4pt;height:0pt;width:41.25pt;z-index:251659264;mso-width-relative:page;mso-height-relative:page;" filled="f" stroked="t" coordsize="21600,21600" o:gfxdata="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uQwL1gAAAAkBAAAPAAAAAAAAAAEAIAAAACIA&#10;AABkcnMvZG93bnJldi54bWxQSwECFAAUAAAACACHTuJAV8mLo9IBAACsAwAADgAAAAAAAAABACAA&#10;AAAlAQAAZHJzL2Uyb0RvYy54bWxQSwUGAAAAAAYABgBZAQAAaQUAAAAA&#10;">
                      <v:fill on="f" focussize="0,0"/>
                      <v:stroke color="#000000" joinstyle="round"/>
                      <v:imagedata o:title=""/>
                      <o:lock v:ext="edit" aspectratio="f"/>
                    </v:line>
                  </w:pict>
                </mc:Fallback>
              </mc:AlternateContent>
            </w:r>
            <w:r>
              <w:rPr>
                <w:rFonts w:eastAsia="Times New Roman"/>
                <w:b/>
                <w:bCs/>
                <w:sz w:val="26"/>
                <w:szCs w:val="26"/>
                <w:highlight w:val="white"/>
              </w:rPr>
              <w:t>HỘI ĐỒNG NHÂN DÂN TỈNH KON TUM</w:t>
            </w:r>
          </w:p>
        </w:tc>
        <w:tc>
          <w:tcPr>
            <w:tcW w:w="5919" w:type="dxa"/>
            <w:shd w:val="clear" w:color="auto" w:fill="auto"/>
          </w:tcPr>
          <w:p>
            <w:pPr>
              <w:spacing w:after="0" w:line="240" w:lineRule="auto"/>
              <w:jc w:val="center"/>
              <w:rPr>
                <w:rFonts w:eastAsia="Times New Roman"/>
                <w:b/>
                <w:bCs/>
                <w:sz w:val="26"/>
                <w:szCs w:val="26"/>
                <w:highlight w:val="white"/>
              </w:rPr>
            </w:pPr>
            <w:r>
              <w:rPr>
                <w:rFonts w:eastAsia="Times New Roman"/>
                <w:b/>
                <w:bCs/>
                <w:sz w:val="26"/>
                <w:szCs w:val="26"/>
                <w:highlight w:val="white"/>
              </w:rPr>
              <w:t>CỘNG HÒA XÃ HỘI CHỦ NGHĨA VIỆT NAM</w:t>
            </w:r>
          </w:p>
          <w:p>
            <w:pPr>
              <w:spacing w:after="0" w:line="240" w:lineRule="auto"/>
              <w:jc w:val="center"/>
              <w:rPr>
                <w:rFonts w:eastAsia="Times New Roman"/>
                <w:b/>
                <w:bCs/>
                <w:sz w:val="26"/>
                <w:szCs w:val="26"/>
                <w:highlight w:val="white"/>
              </w:rPr>
            </w:pPr>
            <w:r>
              <w:rPr>
                <w:rFonts w:eastAsia="Times New Roman"/>
                <w:sz w:val="26"/>
                <w:szCs w:val="26"/>
                <w:highlight w:val="white"/>
              </w:rPr>
              <mc:AlternateContent>
                <mc:Choice Requires="wps">
                  <w:drawing>
                    <wp:anchor distT="0" distB="0" distL="114300" distR="114300" simplePos="0" relativeHeight="251660288" behindDoc="0" locked="0" layoutInCell="1" allowOverlap="1">
                      <wp:simplePos x="0" y="0"/>
                      <wp:positionH relativeFrom="column">
                        <wp:posOffset>718820</wp:posOffset>
                      </wp:positionH>
                      <wp:positionV relativeFrom="paragraph">
                        <wp:posOffset>218440</wp:posOffset>
                      </wp:positionV>
                      <wp:extent cx="2159000" cy="0"/>
                      <wp:effectExtent l="0" t="0" r="12700" b="190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2159214"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6pt;margin-top:17.2pt;height:0pt;width:170pt;z-index:251660288;mso-width-relative:page;mso-height-relative:page;" filled="f" stroked="t" coordsize="21600,21600" o:gfxdata="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ZFjq1QAAAAkBAAAPAAAAAAAAAAEAIAAAACIA&#10;AABkcnMvZG93bnJldi54bWxQSwECFAAUAAAACACHTuJAQg/ll9MBAACtAwAADgAAAAAAAAABACAA&#10;AAAkAQAAZHJzL2Uyb0RvYy54bWxQSwUGAAAAAAYABgBZAQAAaQUAAAAA&#10;">
                      <v:fill on="f" focussize="0,0"/>
                      <v:stroke color="#000000" joinstyle="round"/>
                      <v:imagedata o:title=""/>
                      <o:lock v:ext="edit" aspectratio="f"/>
                    </v:line>
                  </w:pict>
                </mc:Fallback>
              </mc:AlternateContent>
            </w:r>
            <w:r>
              <w:rPr>
                <w:rFonts w:eastAsia="Times New Roman"/>
                <w:b/>
                <w:bCs/>
                <w:szCs w:val="28"/>
                <w:highlight w:val="white"/>
              </w:rPr>
              <w:t>Độc lập - Tự do - Hạnh phúc</w:t>
            </w:r>
          </w:p>
        </w:tc>
      </w:tr>
    </w:tbl>
    <w:p>
      <w:pPr>
        <w:spacing w:after="0" w:line="240" w:lineRule="auto"/>
        <w:jc w:val="center"/>
        <w:rPr>
          <w:b/>
        </w:rPr>
      </w:pPr>
    </w:p>
    <w:p>
      <w:pPr>
        <w:spacing w:after="0" w:line="240" w:lineRule="auto"/>
        <w:jc w:val="center"/>
        <w:rPr>
          <w:b/>
        </w:rPr>
      </w:pPr>
      <w:r>
        <w:rPr>
          <w:b/>
        </w:rPr>
        <w:t>Phụ lục III</w:t>
      </w:r>
    </w:p>
    <w:p>
      <w:pPr>
        <w:spacing w:after="0" w:line="240" w:lineRule="auto"/>
        <w:jc w:val="center"/>
        <w:rPr>
          <w:b/>
        </w:rPr>
      </w:pPr>
      <w:r>
        <w:rPr>
          <w:b/>
        </w:rPr>
        <w:t xml:space="preserve">LỆ PHÍ QUẢN LÝ NHÀ NƯỚC LIÊN QUAN ĐẾN QUYỀN VÀ </w:t>
      </w:r>
    </w:p>
    <w:p>
      <w:pPr>
        <w:spacing w:after="0" w:line="240" w:lineRule="auto"/>
        <w:jc w:val="center"/>
        <w:rPr>
          <w:b/>
        </w:rPr>
      </w:pPr>
      <w:r>
        <w:rPr>
          <w:b/>
        </w:rPr>
        <w:t>NGHĨA VỤ CỦA CÔNG DÂN</w:t>
      </w:r>
    </w:p>
    <w:p>
      <w:pPr>
        <w:spacing w:after="0" w:line="240" w:lineRule="auto"/>
        <w:jc w:val="center"/>
        <w:rPr>
          <w:i/>
        </w:rPr>
      </w:pPr>
      <w:r>
        <w:rPr>
          <w:i/>
        </w:rPr>
        <w:t xml:space="preserve"> (Kèm theo Nghị quyết số 32/2022/NQ-HĐND ngày 12 tháng 7 năm 2022 </w:t>
      </w:r>
    </w:p>
    <w:p>
      <w:pPr>
        <w:spacing w:after="0" w:line="240" w:lineRule="auto"/>
        <w:jc w:val="center"/>
        <w:rPr>
          <w:i/>
        </w:rPr>
      </w:pPr>
      <w:r>
        <w:rPr>
          <w:i/>
        </w:rPr>
        <w:t>của Hội đồng nhân dân tỉnh Kon Tum)</w:t>
      </w:r>
    </w:p>
    <w:p>
      <w:pPr>
        <w:spacing w:after="0" w:line="240" w:lineRule="auto"/>
        <w:rPr>
          <w:i/>
        </w:rPr>
      </w:pPr>
    </w:p>
    <w:tbl>
      <w:tblPr>
        <w:tblStyle w:val="5"/>
        <w:tblW w:w="9512" w:type="dxa"/>
        <w:tblInd w:w="-176" w:type="dxa"/>
        <w:tblLayout w:type="autofit"/>
        <w:tblCellMar>
          <w:top w:w="0" w:type="dxa"/>
          <w:left w:w="108" w:type="dxa"/>
          <w:bottom w:w="0" w:type="dxa"/>
          <w:right w:w="108" w:type="dxa"/>
        </w:tblCellMar>
      </w:tblPr>
      <w:tblGrid>
        <w:gridCol w:w="632"/>
        <w:gridCol w:w="3104"/>
        <w:gridCol w:w="1793"/>
        <w:gridCol w:w="1104"/>
        <w:gridCol w:w="846"/>
        <w:gridCol w:w="885"/>
        <w:gridCol w:w="1148"/>
      </w:tblGrid>
      <w:tr>
        <w:tblPrEx>
          <w:tblCellMar>
            <w:top w:w="0" w:type="dxa"/>
            <w:left w:w="108" w:type="dxa"/>
            <w:bottom w:w="0" w:type="dxa"/>
            <w:right w:w="108" w:type="dxa"/>
          </w:tblCellMar>
        </w:tblPrEx>
        <w:trPr>
          <w:trHeight w:val="507" w:hRule="atLeast"/>
          <w:tblHeader/>
        </w:trPr>
        <w:tc>
          <w:tcPr>
            <w:tcW w:w="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STT</w:t>
            </w:r>
          </w:p>
        </w:tc>
        <w:tc>
          <w:tcPr>
            <w:tcW w:w="31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Nội dung</w:t>
            </w:r>
          </w:p>
        </w:tc>
        <w:tc>
          <w:tcPr>
            <w:tcW w:w="17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Đơn vị tính</w:t>
            </w:r>
          </w:p>
        </w:tc>
        <w:tc>
          <w:tcPr>
            <w:tcW w:w="11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Mức thu (đồng)</w:t>
            </w:r>
          </w:p>
        </w:tc>
        <w:tc>
          <w:tcPr>
            <w:tcW w:w="8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Tỷ lệ (%) để lại đơn vị thu</w:t>
            </w:r>
          </w:p>
        </w:tc>
        <w:tc>
          <w:tcPr>
            <w:tcW w:w="8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Tỷ lệ (%) nộp NSNN</w:t>
            </w:r>
          </w:p>
        </w:tc>
        <w:tc>
          <w:tcPr>
            <w:tcW w:w="11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Ghi chú</w:t>
            </w:r>
          </w:p>
        </w:tc>
      </w:tr>
      <w:tr>
        <w:tblPrEx>
          <w:tblCellMar>
            <w:top w:w="0" w:type="dxa"/>
            <w:left w:w="108" w:type="dxa"/>
            <w:bottom w:w="0" w:type="dxa"/>
            <w:right w:w="108" w:type="dxa"/>
          </w:tblCellMar>
        </w:tblPrEx>
        <w:trPr>
          <w:trHeight w:val="759" w:hRule="atLeast"/>
          <w:tblHead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bCs/>
                <w:sz w:val="22"/>
              </w:rPr>
            </w:pPr>
          </w:p>
        </w:tc>
        <w:tc>
          <w:tcPr>
            <w:tcW w:w="310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bCs/>
                <w:sz w:val="22"/>
              </w:rPr>
            </w:pPr>
          </w:p>
        </w:tc>
        <w:tc>
          <w:tcPr>
            <w:tcW w:w="179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bCs/>
                <w:sz w:val="22"/>
              </w:rPr>
            </w:pPr>
          </w:p>
        </w:tc>
        <w:tc>
          <w:tcPr>
            <w:tcW w:w="1104"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eastAsia="Times New Roman"/>
                <w:b/>
                <w:bCs/>
                <w:sz w:val="22"/>
              </w:rPr>
            </w:pPr>
          </w:p>
        </w:tc>
        <w:tc>
          <w:tcPr>
            <w:tcW w:w="84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eastAsia="Times New Roman"/>
                <w:b/>
                <w:bCs/>
                <w:sz w:val="22"/>
              </w:rPr>
            </w:pPr>
          </w:p>
        </w:tc>
        <w:tc>
          <w:tcPr>
            <w:tcW w:w="885"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eastAsia="Times New Roman"/>
                <w:b/>
                <w:bCs/>
                <w:sz w:val="22"/>
              </w:rPr>
            </w:pPr>
          </w:p>
        </w:tc>
        <w:tc>
          <w:tcPr>
            <w:tcW w:w="114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bCs/>
                <w:sz w:val="22"/>
              </w:rPr>
            </w:pP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I</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Lệ phí đăng ký cư trú</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1</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Đối tượng nộp lệ phí</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Là công dân Việt Nam, được cơ quan nhà nước có thẩm quyền giải quyết đăng ký cư trú theo quy định của pháp luật về cư trú</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2</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Nội dung thu lệ phí</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hint="eastAsia" w:eastAsia="Times New Roman"/>
                <w:sz w:val="22"/>
              </w:rPr>
              <w:t>Đă</w:t>
            </w:r>
            <w:r>
              <w:rPr>
                <w:rFonts w:eastAsia="Times New Roman"/>
                <w:sz w:val="22"/>
              </w:rPr>
              <w:t>ng ký th</w:t>
            </w:r>
            <w:r>
              <w:rPr>
                <w:rFonts w:hint="eastAsia" w:eastAsia="Times New Roman"/>
                <w:sz w:val="22"/>
              </w:rPr>
              <w:t>ư</w:t>
            </w:r>
            <w:r>
              <w:rPr>
                <w:rFonts w:eastAsia="Times New Roman"/>
                <w:sz w:val="22"/>
              </w:rPr>
              <w:t xml:space="preserve">ờng trú, </w:t>
            </w:r>
            <w:r>
              <w:rPr>
                <w:rFonts w:hint="eastAsia" w:eastAsia="Times New Roman"/>
                <w:sz w:val="22"/>
              </w:rPr>
              <w:t>đă</w:t>
            </w:r>
            <w:r>
              <w:rPr>
                <w:rFonts w:eastAsia="Times New Roman"/>
                <w:sz w:val="22"/>
              </w:rPr>
              <w:t>ng ký tạm trú cả hộ hoặc một ng</w:t>
            </w:r>
            <w:r>
              <w:rPr>
                <w:rFonts w:hint="eastAsia" w:eastAsia="Times New Roman"/>
                <w:sz w:val="22"/>
              </w:rPr>
              <w:t>ư</w:t>
            </w:r>
            <w:r>
              <w:rPr>
                <w:rFonts w:eastAsia="Times New Roman"/>
                <w:sz w:val="22"/>
              </w:rPr>
              <w:t>ời</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đồng/lần đăng ký</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15.000</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0%</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100%</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Đăng ký tạm trú theo danh sách</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đồng/người/lần đăng ký</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15.000</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0%</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100%</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Điều chỉnh thông tin về cư trú trong Cơ sở dữ liệu về cư trú</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đồng/lần điều chỉnh</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8.000</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0%</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100%</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Tách hộ, xác nhận thông tin về cư trú</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đồng/lần đăng ký, xác nhận</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8.000</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0%</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100%</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Gia hạn tạm trú cả hộ hoặc một người</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đồng/lần gia hạn</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8.000</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0%</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100%</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r>
      <w:tr>
        <w:tblPrEx>
          <w:tblCellMar>
            <w:top w:w="0" w:type="dxa"/>
            <w:left w:w="108" w:type="dxa"/>
            <w:bottom w:w="0" w:type="dxa"/>
            <w:right w:w="108" w:type="dxa"/>
          </w:tblCellMar>
        </w:tblPrEx>
        <w:trPr>
          <w:trHeight w:val="527"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Gia hạn tạm trú theo danh sách</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đồng/người/lần gia hạn</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8.000</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0%</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100%</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3</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Đối tượng miễn nộp lệ phí</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Trẻ em</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Miễn thu</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Bố, mẹ, vợ (hoặc chồng) của liệt sỹ, con dưới 18 tuổi của liệt sỹ</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Miễn thu</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Thương binh, con dưới 18 tuổi của thương binh</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Miễn thu</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Bà mẹ Việt Nam anh hùng</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Miễn thu</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Hộ nghèo</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Miễn thu</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Công dân thuộc xã, thôn đặc biệt khó khăn theo quy định của Chính phủ và Ủy ban Dân tộc</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Miễn thu</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Điều chỉnh những thay đổi thông tin về cư trú khi Nhà nước quy định thay đổi địa giới hành chính, khi có sai sót thông tin về cư trú do lỗi của cơ quan đăng ký cư trú</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sz w:val="22"/>
              </w:rPr>
              <w:t>Miễn thu</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p>
        </w:tc>
      </w:tr>
      <w:tr>
        <w:tblPrEx>
          <w:tblCellMar>
            <w:top w:w="0" w:type="dxa"/>
            <w:left w:w="108" w:type="dxa"/>
            <w:bottom w:w="0" w:type="dxa"/>
            <w:right w:w="108" w:type="dxa"/>
          </w:tblCellMar>
        </w:tblPrEx>
        <w:trPr>
          <w:trHeight w:val="283" w:hRule="atLeast"/>
        </w:trPr>
        <w:tc>
          <w:tcPr>
            <w:tcW w:w="632" w:type="dxa"/>
            <w:tcBorders>
              <w:top w:val="nil"/>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III</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Lệ phí hộ tịch</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88" w:hRule="atLeast"/>
        </w:trPr>
        <w:tc>
          <w:tcPr>
            <w:tcW w:w="632" w:type="dxa"/>
            <w:tcBorders>
              <w:top w:val="nil"/>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1</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Đối tượng nộp lệ phí</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688" w:hRule="atLeast"/>
        </w:trPr>
        <w:tc>
          <w:tcPr>
            <w:tcW w:w="632" w:type="dxa"/>
            <w:tcBorders>
              <w:top w:val="nil"/>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Người được cơ quan nhà nước có thẩm quyền giải quyết các công việc về hộ tịch theo quy định của pháp luật, không bao gồm việc cấp bản sao trích lục hộ tịch</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257" w:hRule="atLeast"/>
        </w:trPr>
        <w:tc>
          <w:tcPr>
            <w:tcW w:w="632" w:type="dxa"/>
            <w:tcBorders>
              <w:top w:val="nil"/>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2</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Nội dung thu lệ phí</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403" w:hRule="atLeast"/>
        </w:trPr>
        <w:tc>
          <w:tcPr>
            <w:tcW w:w="632" w:type="dxa"/>
            <w:tcBorders>
              <w:top w:val="nil"/>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a</w:t>
            </w:r>
          </w:p>
        </w:tc>
        <w:tc>
          <w:tcPr>
            <w:tcW w:w="3104" w:type="dxa"/>
            <w:tcBorders>
              <w:top w:val="nil"/>
              <w:left w:val="nil"/>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b/>
                <w:bCs/>
                <w:sz w:val="22"/>
              </w:rPr>
              <w:t>Đăng ký hộ tịch tại UBND cấp huyện</w:t>
            </w:r>
          </w:p>
        </w:tc>
        <w:tc>
          <w:tcPr>
            <w:tcW w:w="1793"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846" w:type="dxa"/>
            <w:tcBorders>
              <w:top w:val="nil"/>
              <w:left w:val="nil"/>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b/>
                <w:bCs/>
                <w:sz w:val="22"/>
              </w:rPr>
              <w:t> </w:t>
            </w:r>
          </w:p>
        </w:tc>
        <w:tc>
          <w:tcPr>
            <w:tcW w:w="885"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c>
          <w:tcPr>
            <w:tcW w:w="1148" w:type="dxa"/>
            <w:tcBorders>
              <w:top w:val="nil"/>
              <w:left w:val="nil"/>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 xml:space="preserve">Đăng ký khai sinh </w:t>
            </w:r>
            <w:r>
              <w:rPr>
                <w:rFonts w:eastAsia="Times New Roman"/>
                <w:i/>
                <w:iCs/>
                <w:sz w:val="22"/>
              </w:rPr>
              <w:t>(bao gồm: đăng ký khai sinh, đăng ký lại khai sinh, đăng ký khai sinh cho người đã có hồ sơ, giấy tờ cá nhân)</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75.000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 xml:space="preserve">Đăng ký kết hôn </w:t>
            </w:r>
            <w:r>
              <w:rPr>
                <w:rFonts w:eastAsia="Times New Roman"/>
                <w:i/>
                <w:iCs/>
                <w:sz w:val="22"/>
              </w:rPr>
              <w:t>(bao gồm: đăng ký kết hôn mới, đăng ký lại kết hôn)</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1.500.000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 xml:space="preserve">Đăng ký khai tử </w:t>
            </w:r>
            <w:r>
              <w:rPr>
                <w:rFonts w:eastAsia="Times New Roman"/>
                <w:i/>
                <w:iCs/>
                <w:sz w:val="22"/>
              </w:rPr>
              <w:t>(bao gồm: đăng ký khai tử, đăng ký lại khai tử)</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75.000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Đăng ký nhận cha, mẹ, con</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1.500.000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Đăng ký giám hộ, chấm dứt giám hộ</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75.000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Thay đổi, cải chính hộ tịch cho người từ đủ 14 tuổi trở lên cư trú ở trong nước; xác định lại dân tộc; thay đổi, cải chính, bổ sung hộ tịch có yếu tố nước ngoài</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đồng/thay đổi, cải chính</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28.000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Ghi vào sổ hộ tịch việc hộ tịch của công dân Việt Nam đã được giải quyết tại cơ quan có thẩm quyền của nước ngoài</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đồng/lần</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75.000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Đăng ký hộ tịch khác</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đồng/lần</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75.000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b/>
                <w:bCs/>
                <w:sz w:val="22"/>
              </w:rPr>
              <w:t>b</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b/>
                <w:bCs/>
                <w:sz w:val="22"/>
              </w:rPr>
              <w:t xml:space="preserve">Đăng ký hộ tịch tại UBND cấp xã </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 xml:space="preserve">Đăng ký khai sinh </w:t>
            </w:r>
            <w:r>
              <w:rPr>
                <w:rFonts w:eastAsia="Times New Roman"/>
                <w:i/>
                <w:sz w:val="22"/>
              </w:rPr>
              <w:t>(bao gồm: đăng ký khai sinh không đúng hạn, đăng ký lại khai sinh, đăng ký khai sinh cho người đã có hồ sơ, giấy tờ cá nhân)</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7.000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 xml:space="preserve">Đăng ký kết hôn </w:t>
            </w:r>
            <w:r>
              <w:rPr>
                <w:rFonts w:eastAsia="Times New Roman"/>
                <w:i/>
                <w:sz w:val="22"/>
              </w:rPr>
              <w:t>(đăng ký lại kết hôn)</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24.000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 xml:space="preserve">Đăng ký khai tử </w:t>
            </w:r>
            <w:r>
              <w:rPr>
                <w:rFonts w:eastAsia="Times New Roman"/>
                <w:i/>
                <w:sz w:val="22"/>
              </w:rPr>
              <w:t>(bao gồm: đăng ký khai tử không đúng hạn, đăng ký lại khai tử)</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Đăng ký nhận cha, mẹ, con</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đồng/đăng ký</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12.000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Thay đổi, cải chính hộ tịch cho người chưa đủ 14 tuổi trở lên cư trú ở trong nước; bổ sung hộ tịch cho công dân Việt Nam cư trú ở trong nước</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đồng/thay đổi, cải chính</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12.000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Cấp giấy xác nhận tình trạng hôn nhân</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đồng/lần cấp</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12.000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Xác nhận hoặc ghi vào Sổ hộ tịch các việc hộ tịch khác</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đồng/lần</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Đăng ký hộ tịch khác</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đồng/lần</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7.000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100%</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b/>
                <w:bCs/>
                <w:sz w:val="22"/>
              </w:rPr>
              <w:t>3</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b/>
                <w:bCs/>
                <w:sz w:val="22"/>
              </w:rPr>
              <w:t>Đối tượng miễn nộp lệ phí</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b/>
                <w:bCs/>
                <w:sz w:val="22"/>
              </w:rPr>
              <w:t> </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b/>
                <w:bCs/>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b/>
                <w:bCs/>
                <w:sz w:val="22"/>
              </w:rPr>
            </w:pPr>
            <w:r>
              <w:rPr>
                <w:rFonts w:eastAsia="Times New Roman"/>
                <w:sz w:val="22"/>
              </w:rPr>
              <w:t>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Miễn thu</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b/>
                <w:bCs/>
                <w:sz w:val="22"/>
              </w:rPr>
            </w:pPr>
            <w:r>
              <w:rPr>
                <w:rFonts w:eastAsia="Times New Roman"/>
                <w:sz w:val="22"/>
              </w:rPr>
              <w:t> </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529" w:hRule="atLeast"/>
        </w:trPr>
        <w:tc>
          <w:tcPr>
            <w:tcW w:w="63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20" w:line="240" w:lineRule="auto"/>
              <w:jc w:val="center"/>
              <w:rPr>
                <w:rFonts w:eastAsia="Times New Roman"/>
                <w:sz w:val="22"/>
              </w:rPr>
            </w:pPr>
            <w:r>
              <w:rPr>
                <w:rFonts w:eastAsia="Times New Roman"/>
                <w:sz w:val="22"/>
              </w:rPr>
              <w:t> </w:t>
            </w:r>
          </w:p>
        </w:tc>
        <w:tc>
          <w:tcPr>
            <w:tcW w:w="3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both"/>
              <w:rPr>
                <w:rFonts w:eastAsia="Times New Roman"/>
                <w:sz w:val="22"/>
              </w:rPr>
            </w:pPr>
            <w:r>
              <w:rPr>
                <w:rFonts w:eastAsia="Times New Roman"/>
                <w:sz w:val="22"/>
              </w:rPr>
              <w:t>Đăng ký khai sinh, khai tử đúng hạn, giám hộ, kết hôn của công dân Việt Nam cư trú ở trong nước</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Miễn thu</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jc w:val="center"/>
              <w:rPr>
                <w:rFonts w:eastAsia="Times New Roman"/>
                <w:sz w:val="22"/>
              </w:rPr>
            </w:pPr>
            <w:r>
              <w:rPr>
                <w:rFonts w:eastAsia="Times New Roman"/>
                <w:sz w:val="22"/>
              </w:rPr>
              <w:t> </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20" w:line="240" w:lineRule="auto"/>
              <w:rPr>
                <w:rFonts w:eastAsia="Times New Roman"/>
                <w:b/>
                <w:bCs/>
                <w:sz w:val="22"/>
              </w:rPr>
            </w:pPr>
            <w:r>
              <w:rPr>
                <w:rFonts w:eastAsia="Times New Roman"/>
                <w:b/>
                <w:bCs/>
                <w:sz w:val="22"/>
              </w:rPr>
              <w:t> </w:t>
            </w:r>
          </w:p>
        </w:tc>
      </w:tr>
    </w:tbl>
    <w:p/>
    <w:sectPr>
      <w:headerReference r:id="rId6" w:type="first"/>
      <w:headerReference r:id="rId5" w:type="default"/>
      <w:pgSz w:w="11907" w:h="16840"/>
      <w:pgMar w:top="1134" w:right="1134" w:bottom="1134" w:left="1701" w:header="709" w:footer="266" w:gutter="0"/>
      <w:pgNumType w:start="1"/>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2673319"/>
      <w:docPartObj>
        <w:docPartGallery w:val="AutoText"/>
      </w:docPartObj>
    </w:sdtPr>
    <w:sdtContent>
      <w:p>
        <w:pPr>
          <w:pStyle w:val="15"/>
          <w:jc w:val="center"/>
        </w:pPr>
        <w:r>
          <w:fldChar w:fldCharType="begin"/>
        </w:r>
        <w:r>
          <w:instrText xml:space="preserve"> PAGE   \* MERGEFORMAT </w:instrText>
        </w:r>
        <w:r>
          <w:fldChar w:fldCharType="separate"/>
        </w:r>
        <w:r>
          <w:t>2</w:t>
        </w:r>
        <w:r>
          <w:fldChar w:fldCharType="end"/>
        </w:r>
      </w:p>
    </w:sdtContent>
  </w:sdt>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C0"/>
    <w:rsid w:val="00000C0A"/>
    <w:rsid w:val="00030D1E"/>
    <w:rsid w:val="0006094F"/>
    <w:rsid w:val="000E4A57"/>
    <w:rsid w:val="000E6A08"/>
    <w:rsid w:val="001349EA"/>
    <w:rsid w:val="001725C6"/>
    <w:rsid w:val="001B6190"/>
    <w:rsid w:val="001C044C"/>
    <w:rsid w:val="001C2644"/>
    <w:rsid w:val="001C4BF7"/>
    <w:rsid w:val="001F4C2C"/>
    <w:rsid w:val="00203064"/>
    <w:rsid w:val="00220ED6"/>
    <w:rsid w:val="0022181D"/>
    <w:rsid w:val="0023486E"/>
    <w:rsid w:val="002356F8"/>
    <w:rsid w:val="002607C3"/>
    <w:rsid w:val="002B547A"/>
    <w:rsid w:val="002B7109"/>
    <w:rsid w:val="002C2D1F"/>
    <w:rsid w:val="0032385B"/>
    <w:rsid w:val="00357E96"/>
    <w:rsid w:val="003A4B9D"/>
    <w:rsid w:val="003B763D"/>
    <w:rsid w:val="003E2183"/>
    <w:rsid w:val="003E4C0D"/>
    <w:rsid w:val="00426263"/>
    <w:rsid w:val="00440982"/>
    <w:rsid w:val="004566F5"/>
    <w:rsid w:val="00462716"/>
    <w:rsid w:val="004804C4"/>
    <w:rsid w:val="004B1949"/>
    <w:rsid w:val="00571143"/>
    <w:rsid w:val="00574565"/>
    <w:rsid w:val="005E07C3"/>
    <w:rsid w:val="0060479F"/>
    <w:rsid w:val="0062153C"/>
    <w:rsid w:val="00634F63"/>
    <w:rsid w:val="00643472"/>
    <w:rsid w:val="00675854"/>
    <w:rsid w:val="006956C0"/>
    <w:rsid w:val="006C7F55"/>
    <w:rsid w:val="006D2E52"/>
    <w:rsid w:val="00711400"/>
    <w:rsid w:val="007443B1"/>
    <w:rsid w:val="0075007A"/>
    <w:rsid w:val="007809FF"/>
    <w:rsid w:val="00787D3D"/>
    <w:rsid w:val="00804A75"/>
    <w:rsid w:val="008219B3"/>
    <w:rsid w:val="00850F01"/>
    <w:rsid w:val="00851D8C"/>
    <w:rsid w:val="00856EF7"/>
    <w:rsid w:val="00884EAC"/>
    <w:rsid w:val="00887335"/>
    <w:rsid w:val="00891533"/>
    <w:rsid w:val="008D7345"/>
    <w:rsid w:val="00912A5A"/>
    <w:rsid w:val="009150AB"/>
    <w:rsid w:val="009155A0"/>
    <w:rsid w:val="009178DD"/>
    <w:rsid w:val="009215E5"/>
    <w:rsid w:val="00943719"/>
    <w:rsid w:val="00944563"/>
    <w:rsid w:val="00962CEA"/>
    <w:rsid w:val="00971703"/>
    <w:rsid w:val="00971AC2"/>
    <w:rsid w:val="009A56B8"/>
    <w:rsid w:val="009F79AD"/>
    <w:rsid w:val="00A06C54"/>
    <w:rsid w:val="00A77768"/>
    <w:rsid w:val="00A848D7"/>
    <w:rsid w:val="00AD3209"/>
    <w:rsid w:val="00AE484C"/>
    <w:rsid w:val="00B166AE"/>
    <w:rsid w:val="00B42999"/>
    <w:rsid w:val="00B433FC"/>
    <w:rsid w:val="00B4452E"/>
    <w:rsid w:val="00B45635"/>
    <w:rsid w:val="00B82629"/>
    <w:rsid w:val="00BA0ECA"/>
    <w:rsid w:val="00BA4130"/>
    <w:rsid w:val="00BD6D72"/>
    <w:rsid w:val="00BF57A7"/>
    <w:rsid w:val="00C46906"/>
    <w:rsid w:val="00C919F2"/>
    <w:rsid w:val="00D174A4"/>
    <w:rsid w:val="00D23C93"/>
    <w:rsid w:val="00DE5BC7"/>
    <w:rsid w:val="00DF0332"/>
    <w:rsid w:val="00E56C9E"/>
    <w:rsid w:val="00E63443"/>
    <w:rsid w:val="00E93045"/>
    <w:rsid w:val="00F0292E"/>
    <w:rsid w:val="00F3181E"/>
    <w:rsid w:val="00F33388"/>
    <w:rsid w:val="00F47A09"/>
    <w:rsid w:val="00F55169"/>
    <w:rsid w:val="00FD242F"/>
    <w:rsid w:val="67ED7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8"/>
      <w:szCs w:val="22"/>
      <w:lang w:val="en-US" w:eastAsia="en-US" w:bidi="ar-SA"/>
    </w:rPr>
  </w:style>
  <w:style w:type="paragraph" w:styleId="2">
    <w:name w:val="heading 1"/>
    <w:basedOn w:val="1"/>
    <w:next w:val="1"/>
    <w:link w:val="20"/>
    <w:qFormat/>
    <w:uiPriority w:val="0"/>
    <w:pPr>
      <w:keepNext/>
      <w:spacing w:after="0" w:line="240" w:lineRule="auto"/>
      <w:outlineLvl w:val="0"/>
    </w:pPr>
    <w:rPr>
      <w:rFonts w:eastAsia="Times New Roman"/>
      <w:szCs w:val="24"/>
    </w:rPr>
  </w:style>
  <w:style w:type="paragraph" w:styleId="3">
    <w:name w:val="heading 2"/>
    <w:basedOn w:val="1"/>
    <w:next w:val="1"/>
    <w:link w:val="21"/>
    <w:qFormat/>
    <w:uiPriority w:val="0"/>
    <w:pPr>
      <w:keepNext/>
      <w:spacing w:after="0" w:line="240" w:lineRule="auto"/>
      <w:jc w:val="center"/>
      <w:outlineLvl w:val="1"/>
    </w:pPr>
    <w:rPr>
      <w:rFonts w:eastAsia="Times New Roman"/>
      <w:szCs w:val="24"/>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7"/>
    <w:semiHidden/>
    <w:uiPriority w:val="0"/>
    <w:pPr>
      <w:spacing w:after="0" w:line="240" w:lineRule="auto"/>
    </w:pPr>
    <w:rPr>
      <w:rFonts w:ascii="Tahoma" w:hAnsi="Tahoma" w:eastAsia="Times New Roman" w:cs="Tahoma"/>
      <w:sz w:val="16"/>
      <w:szCs w:val="16"/>
    </w:rPr>
  </w:style>
  <w:style w:type="paragraph" w:styleId="7">
    <w:name w:val="Body Text"/>
    <w:basedOn w:val="1"/>
    <w:link w:val="32"/>
    <w:qFormat/>
    <w:uiPriority w:val="0"/>
    <w:pPr>
      <w:spacing w:after="120" w:line="240" w:lineRule="auto"/>
    </w:pPr>
    <w:rPr>
      <w:rFonts w:eastAsia="Times New Roman"/>
      <w:szCs w:val="28"/>
    </w:rPr>
  </w:style>
  <w:style w:type="paragraph" w:styleId="8">
    <w:name w:val="Body Text 2"/>
    <w:basedOn w:val="1"/>
    <w:link w:val="26"/>
    <w:uiPriority w:val="0"/>
    <w:pPr>
      <w:autoSpaceDE w:val="0"/>
      <w:autoSpaceDN w:val="0"/>
      <w:spacing w:before="120" w:after="120" w:line="240" w:lineRule="auto"/>
      <w:ind w:firstLine="720"/>
      <w:jc w:val="both"/>
    </w:pPr>
    <w:rPr>
      <w:rFonts w:ascii=".VnTime" w:hAnsi=".VnTime" w:eastAsia="Times New Roman"/>
      <w:szCs w:val="28"/>
    </w:rPr>
  </w:style>
  <w:style w:type="paragraph" w:styleId="9">
    <w:name w:val="Body Text Indent"/>
    <w:basedOn w:val="1"/>
    <w:link w:val="24"/>
    <w:uiPriority w:val="0"/>
    <w:pPr>
      <w:widowControl w:val="0"/>
      <w:spacing w:after="0" w:line="240" w:lineRule="auto"/>
      <w:ind w:firstLine="544"/>
      <w:jc w:val="both"/>
    </w:pPr>
    <w:rPr>
      <w:rFonts w:eastAsia="Times New Roman"/>
      <w:szCs w:val="28"/>
      <w:lang w:val="nl-NL" w:eastAsia="zh-CN"/>
    </w:rPr>
  </w:style>
  <w:style w:type="paragraph" w:styleId="10">
    <w:name w:val="Body Text Indent 2"/>
    <w:basedOn w:val="1"/>
    <w:link w:val="25"/>
    <w:uiPriority w:val="0"/>
    <w:pPr>
      <w:spacing w:after="0" w:line="240" w:lineRule="auto"/>
      <w:ind w:firstLine="720"/>
      <w:jc w:val="both"/>
    </w:pPr>
    <w:rPr>
      <w:rFonts w:eastAsia="Times New Roman"/>
      <w:szCs w:val="24"/>
    </w:rPr>
  </w:style>
  <w:style w:type="character" w:styleId="11">
    <w:name w:val="FollowedHyperlink"/>
    <w:unhideWhenUsed/>
    <w:uiPriority w:val="99"/>
    <w:rPr>
      <w:color w:val="954F72"/>
      <w:u w:val="single"/>
    </w:rPr>
  </w:style>
  <w:style w:type="paragraph" w:styleId="12">
    <w:name w:val="footer"/>
    <w:basedOn w:val="1"/>
    <w:link w:val="23"/>
    <w:unhideWhenUsed/>
    <w:uiPriority w:val="99"/>
    <w:pPr>
      <w:tabs>
        <w:tab w:val="center" w:pos="4680"/>
        <w:tab w:val="right" w:pos="9360"/>
      </w:tabs>
      <w:spacing w:after="0" w:line="240" w:lineRule="auto"/>
    </w:pPr>
  </w:style>
  <w:style w:type="character" w:styleId="13">
    <w:name w:val="footnote reference"/>
    <w:qFormat/>
    <w:uiPriority w:val="0"/>
    <w:rPr>
      <w:vertAlign w:val="superscript"/>
    </w:rPr>
  </w:style>
  <w:style w:type="paragraph" w:styleId="14">
    <w:name w:val="footnote text"/>
    <w:basedOn w:val="1"/>
    <w:link w:val="33"/>
    <w:uiPriority w:val="0"/>
    <w:pPr>
      <w:spacing w:after="0" w:line="240" w:lineRule="auto"/>
    </w:pPr>
    <w:rPr>
      <w:rFonts w:eastAsia="Times New Roman"/>
      <w:sz w:val="20"/>
      <w:szCs w:val="20"/>
    </w:rPr>
  </w:style>
  <w:style w:type="paragraph" w:styleId="15">
    <w:name w:val="header"/>
    <w:basedOn w:val="1"/>
    <w:link w:val="22"/>
    <w:unhideWhenUsed/>
    <w:uiPriority w:val="99"/>
    <w:pPr>
      <w:tabs>
        <w:tab w:val="center" w:pos="4680"/>
        <w:tab w:val="right" w:pos="9360"/>
      </w:tabs>
      <w:spacing w:after="0" w:line="240" w:lineRule="auto"/>
    </w:pPr>
  </w:style>
  <w:style w:type="character" w:styleId="16">
    <w:name w:val="Hyperlink"/>
    <w:unhideWhenUsed/>
    <w:uiPriority w:val="99"/>
    <w:rPr>
      <w:color w:val="0000FF"/>
      <w:u w:val="single"/>
    </w:rPr>
  </w:style>
  <w:style w:type="paragraph" w:styleId="17">
    <w:name w:val="Normal (Web)"/>
    <w:basedOn w:val="1"/>
    <w:uiPriority w:val="0"/>
    <w:pPr>
      <w:spacing w:before="100" w:beforeAutospacing="1" w:after="100" w:afterAutospacing="1" w:line="240" w:lineRule="auto"/>
    </w:pPr>
    <w:rPr>
      <w:rFonts w:eastAsia="Times New Roman"/>
      <w:sz w:val="24"/>
      <w:szCs w:val="24"/>
    </w:rPr>
  </w:style>
  <w:style w:type="character" w:styleId="18">
    <w:name w:val="Strong"/>
    <w:qFormat/>
    <w:uiPriority w:val="0"/>
    <w:rPr>
      <w:b/>
      <w:bCs/>
    </w:rPr>
  </w:style>
  <w:style w:type="table" w:styleId="19">
    <w:name w:val="Table Grid"/>
    <w:basedOn w:val="5"/>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4"/>
    <w:link w:val="2"/>
    <w:uiPriority w:val="0"/>
    <w:rPr>
      <w:rFonts w:eastAsia="Times New Roman"/>
      <w:sz w:val="28"/>
      <w:szCs w:val="24"/>
    </w:rPr>
  </w:style>
  <w:style w:type="character" w:customStyle="1" w:styleId="21">
    <w:name w:val="Heading 2 Char"/>
    <w:basedOn w:val="4"/>
    <w:link w:val="3"/>
    <w:uiPriority w:val="0"/>
    <w:rPr>
      <w:rFonts w:eastAsia="Times New Roman"/>
      <w:sz w:val="28"/>
      <w:szCs w:val="24"/>
    </w:rPr>
  </w:style>
  <w:style w:type="character" w:customStyle="1" w:styleId="22">
    <w:name w:val="Header Char"/>
    <w:basedOn w:val="4"/>
    <w:link w:val="15"/>
    <w:uiPriority w:val="99"/>
    <w:rPr>
      <w:sz w:val="28"/>
      <w:szCs w:val="22"/>
    </w:rPr>
  </w:style>
  <w:style w:type="character" w:customStyle="1" w:styleId="23">
    <w:name w:val="Footer Char"/>
    <w:basedOn w:val="4"/>
    <w:link w:val="12"/>
    <w:uiPriority w:val="99"/>
    <w:rPr>
      <w:sz w:val="28"/>
      <w:szCs w:val="22"/>
    </w:rPr>
  </w:style>
  <w:style w:type="character" w:customStyle="1" w:styleId="24">
    <w:name w:val="Body Text Indent Char"/>
    <w:basedOn w:val="4"/>
    <w:link w:val="9"/>
    <w:uiPriority w:val="0"/>
    <w:rPr>
      <w:rFonts w:eastAsia="Times New Roman"/>
      <w:sz w:val="28"/>
      <w:szCs w:val="28"/>
      <w:lang w:val="nl-NL" w:eastAsia="zh-CN"/>
    </w:rPr>
  </w:style>
  <w:style w:type="character" w:customStyle="1" w:styleId="25">
    <w:name w:val="Body Text Indent 2 Char"/>
    <w:basedOn w:val="4"/>
    <w:link w:val="10"/>
    <w:uiPriority w:val="0"/>
    <w:rPr>
      <w:rFonts w:eastAsia="Times New Roman"/>
      <w:sz w:val="28"/>
      <w:szCs w:val="24"/>
    </w:rPr>
  </w:style>
  <w:style w:type="character" w:customStyle="1" w:styleId="26">
    <w:name w:val="Body Text 2 Char"/>
    <w:basedOn w:val="4"/>
    <w:link w:val="8"/>
    <w:uiPriority w:val="0"/>
    <w:rPr>
      <w:rFonts w:ascii=".VnTime" w:hAnsi=".VnTime" w:eastAsia="Times New Roman"/>
      <w:sz w:val="28"/>
      <w:szCs w:val="28"/>
    </w:rPr>
  </w:style>
  <w:style w:type="character" w:customStyle="1" w:styleId="27">
    <w:name w:val="Balloon Text Char"/>
    <w:basedOn w:val="4"/>
    <w:link w:val="6"/>
    <w:semiHidden/>
    <w:uiPriority w:val="0"/>
    <w:rPr>
      <w:rFonts w:ascii="Tahoma" w:hAnsi="Tahoma" w:eastAsia="Times New Roman" w:cs="Tahoma"/>
      <w:sz w:val="16"/>
      <w:szCs w:val="16"/>
    </w:rPr>
  </w:style>
  <w:style w:type="paragraph" w:customStyle="1" w:styleId="28">
    <w:name w:val="Char"/>
    <w:basedOn w:val="1"/>
    <w:uiPriority w:val="0"/>
    <w:pPr>
      <w:pageBreakBefore/>
      <w:spacing w:before="100" w:beforeAutospacing="1" w:after="100" w:afterAutospacing="1" w:line="240" w:lineRule="auto"/>
      <w:jc w:val="both"/>
    </w:pPr>
    <w:rPr>
      <w:rFonts w:ascii="Tahoma" w:hAnsi="Tahoma" w:eastAsia="Times New Roman"/>
      <w:sz w:val="20"/>
      <w:szCs w:val="20"/>
    </w:rPr>
  </w:style>
  <w:style w:type="paragraph" w:customStyle="1" w:styleId="29">
    <w:name w:val="bodytextindent"/>
    <w:basedOn w:val="1"/>
    <w:uiPriority w:val="0"/>
    <w:pPr>
      <w:spacing w:before="100" w:beforeAutospacing="1" w:after="100" w:afterAutospacing="1" w:line="240" w:lineRule="auto"/>
    </w:pPr>
    <w:rPr>
      <w:rFonts w:eastAsia="Times New Roman"/>
      <w:sz w:val="24"/>
      <w:szCs w:val="24"/>
    </w:rPr>
  </w:style>
  <w:style w:type="paragraph" w:customStyle="1" w:styleId="30">
    <w:name w:val="normalweb"/>
    <w:basedOn w:val="1"/>
    <w:uiPriority w:val="0"/>
    <w:pPr>
      <w:spacing w:before="100" w:beforeAutospacing="1" w:after="100" w:afterAutospacing="1" w:line="240" w:lineRule="auto"/>
    </w:pPr>
    <w:rPr>
      <w:rFonts w:eastAsia="Times New Roman"/>
      <w:sz w:val="24"/>
      <w:szCs w:val="24"/>
    </w:rPr>
  </w:style>
  <w:style w:type="character" w:customStyle="1" w:styleId="31">
    <w:name w:val="apple-converted-space"/>
    <w:uiPriority w:val="0"/>
  </w:style>
  <w:style w:type="character" w:customStyle="1" w:styleId="32">
    <w:name w:val="Body Text Char"/>
    <w:basedOn w:val="4"/>
    <w:link w:val="7"/>
    <w:qFormat/>
    <w:uiPriority w:val="0"/>
    <w:rPr>
      <w:rFonts w:eastAsia="Times New Roman"/>
      <w:sz w:val="28"/>
      <w:szCs w:val="28"/>
    </w:rPr>
  </w:style>
  <w:style w:type="character" w:customStyle="1" w:styleId="33">
    <w:name w:val="Footnote Text Char"/>
    <w:basedOn w:val="4"/>
    <w:link w:val="14"/>
    <w:uiPriority w:val="0"/>
    <w:rPr>
      <w:rFonts w:eastAsia="Times New Roman"/>
    </w:rPr>
  </w:style>
  <w:style w:type="paragraph" w:styleId="3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header" Target="header2.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9" Type="http://schemas.openxmlformats.org/officeDocument/2006/relationships/fontTable" Target="fontTable.xml"/><Relationship Id="rId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3B8D3-01C5-41DB-9B26-4533D2ECF8BE}"/>
</file>

<file path=customXml/itemProps3.xml><?xml version="1.0" encoding="utf-8"?>
<ds:datastoreItem xmlns:ds="http://schemas.openxmlformats.org/officeDocument/2006/customXml" ds:itemID="{7E4EA0EF-C9D5-44EB-A24B-DC778E6DC611}"/>
</file>

<file path=customXml/itemProps4.xml><?xml version="1.0" encoding="utf-8"?>
<ds:datastoreItem xmlns:ds="http://schemas.openxmlformats.org/officeDocument/2006/customXml" ds:itemID="{B1D49DCB-06A4-4B35-9558-3B21C043F775}"/>
</file>

<file path=docProps/app.xml><?xml version="1.0" encoding="utf-8"?>
<Properties xmlns="http://schemas.openxmlformats.org/officeDocument/2006/extended-properties" xmlns:vt="http://schemas.openxmlformats.org/officeDocument/2006/docPropsVTypes">
  <Template>Normal</Template>
  <Company>Microsoft</Company>
  <Pages>3</Pages>
  <Words>619</Words>
  <Characters>3533</Characters>
  <Lines>29</Lines>
  <Paragraphs>8</Paragraphs>
  <TotalTime>241</TotalTime>
  <ScaleCrop>false</ScaleCrop>
  <LinksUpToDate>false</LinksUpToDate>
  <CharactersWithSpaces>4144</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trangvo</cp:lastModifiedBy>
  <cp:revision>80</cp:revision>
  <cp:lastPrinted>2022-07-13T06:12:00Z</cp:lastPrinted>
  <dcterms:created xsi:type="dcterms:W3CDTF">2020-07-13T01:48:00Z</dcterms:created>
  <dcterms:modified xsi:type="dcterms:W3CDTF">2022-07-13T07:51:59Z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AD8B860C3B27423295DB8743B40B0BEE</vt:lpwstr>
  </property>
</Properties>
</file>